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E2" w:rsidRPr="00105DE2" w:rsidRDefault="00105DE2" w:rsidP="00105DE2">
      <w:pPr>
        <w:spacing w:before="120" w:after="360" w:line="240" w:lineRule="atLeast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105DE2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Использование ИКТ в работе с детьми старшего дошкольного возраста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Внедрение ИКТ как средства интерактивного обучения, которое позволяет стимулировать познавательную активность детей и участвовать в освоении новых знаний.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Использование 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мультимедийных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технологий в учебно-воспитательном процессе в дошкольном образовательном учреждении – это одна из самых новых и актуальных проблем в отечественной дошкольной педагогике.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Наиболее эффективная форма организации работы с компьютером в детском саду – проведение 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медиазанятий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применением 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мультимедийных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презентаций. Она дает возможность оптимизировать педагогический процесс, индивидуализировать обучение детей с разным уровнем познавательного развития и значительно повысить эффективность психолого-педагогической деятельности. Это наглядность, дающая возможность педагогу выстроить объяснение на занятиях логично, научно, с использованием видеофрагментов. При такой организации материала включаются три вида памяти детей: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Непосредственная образовательная деятельность в моей группе проводится эмоционально, ярко, с привлечением большого набора иллюстративного материала, с использованием звуковых эффектов и видеозаписей. Применение компьютерной техники позволяет мне сделать непосредственную образовательную деятельность привлекательной и по-настоящему современной, решать познавательные и творческие задачи с опорой на наглядность. Мною подобраны серии презентаций по таким тематическим блокам, как «Дорожная безопасность», «Транспорт», «Животные средней полосы», «Дикие животные», «Домашние животные», «Времена года», «Народные промыслы», «Родной край», «Космос», «Овощи и фрукты», «Одежда, обувь и головные уборы» и т. д. В своих презентациях широко использую загадки, красочные иллюстрации, познавательный материал, взятый из энциклопедий для детей и Интернета (сайт «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Википедия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»)</w:t>
      </w: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Организуя итоговое обобщение по лексической теме, я использую больше интерактивных дидактических игр и упражнений. </w:t>
      </w: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Так, например, на обобщающем занятии по теме «Наша Родина - Россия», были использованы в презентации такие дидактические игры, как «Доскажи словечко», «Угадай, что? », «Москва - столица России», чтение стихов о Родине, а также двигательные упражнения с мультипликационным героем.</w:t>
      </w:r>
      <w:proofErr w:type="gramEnd"/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Применение компьютерных слайдов, презентаций, клипов, звуковых эффектов в процессе обучения детей на занятиях имеет следующие достоинства: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возможность демонстрации различных объектов в многократно увеличенном виде;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объединение аудио-, виде</w:t>
      </w: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о-</w:t>
      </w:r>
      <w:proofErr w:type="gram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возможность демонстрации объектов более доступных для восприятия сохранной сенсорной системе;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позволяет моделировать жизненные ситуации, которые нельзя увидеть в повседневной жизни;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стимулирует познавательную активность детей.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Мы применяем в своей практике готовые 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мультимедийные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презентации в различных образовательных областях: </w:t>
      </w: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«Познание», «Коммуникация», Художественное творчество», «Социализация», «Художественная литература», «Безопасность», «Физическая культура», что позволяет нам:</w:t>
      </w:r>
      <w:proofErr w:type="gramEnd"/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значительно сократить время на формирование и развитие языковых и речевых средств, коммуникативных навыков;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развивать память и концентрацию, которые так необходимы для дальнейшей успешной учёбы в начальной школе;</w:t>
      </w:r>
      <w:proofErr w:type="gramEnd"/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способствовать развитию высших психических функций – внимания, памяти, словесно-логического мышления, эмоционально-волевой сферы.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Использование компьютера с целью приобщения детей к современным техническим средствам передачи и хранения информации, что осуществляется в различных игровых технологиях.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Это различные компьютерные игры – «игрушки»: развлекательные, обучающие, развивающие, диагностические. В работе с дошкольниками использую в основном развивающие, реже обучающие и диагностические игры. Одним из важных моментов применения компьютера в работе со старшими дошкольниками является то, что ребёнок, управляя обучающей игровой программой, начинает сначала думать, а потом действовать. Другой ценный аспект подготовки ребёнка к школе с помощью компьютерных программ - это приобщение малыша к исследовательской работе. Компьютерные игры и программы устроены так, что процесс их освоения побуждает ребёнка пробовать, проверять, уточнять, делать выводы, корректировать свои действия в соответствии с текущей ситуацией. И, наконец, такой немаловажный аспект, как социальная адаптация ребёнка к школе, его отношения с будущими одноклассниками. Овладение компьютером благотворно влияет на формирование личности ребёнка и придаёт ему более высокий социальный статус.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Среди развивающих игр можно выделить игры на развитие математических представлений: «Баба Яга учится считать», «Остров Арифметики», «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Лунтик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Математика для малышей»; игры на развитие фонематического слуха и обучения чтению «Баба Яга учится читать», «Букварь»; игры для музыкального развития, например, «Щелкунчик. Играем с музыкой Чайковского». Следующая группа игр, направленных на развитие основных психических процессов: «Звериный альбом», «Снежная королева», «Русалочка», «Спасем планету от мусора», «От планеты до кометы», «Маленький искатель». Третья группа – это прикладные средства, созданные с целью художественно-творческое развитие детей: «Мышка 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Мия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Юный дизайнер», «Учимся рисовать», «Волшебные превращения». В качестве обучающих игр можно привести пример игр «Форма. Секреты живописи для маленьких художников», «Мир информатики».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Основные фирмы производители развивающих и обучающих компьютерных игр – компания «Новый диск», «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Медиа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Хауз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а также «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Alisa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Studio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и фирма «1С».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Между тем, при внедрении ИКТ как «игрушки» существуют некоторые нюансы, которые необходимо учитывать педагогу: сколько времени ребенок находится за компьютером, влияние игры на состояние психического и физического здоровья, </w:t>
      </w: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искусственная</w:t>
      </w:r>
      <w:proofErr w:type="gram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«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аутизация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и отказ от коммуникативных отношений, возникновение ранней компьютерной зависимости.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Спектр использования возможности ИКТ в образовательном процессе достаточно широк. Однако, работая с детьми дошкольного возраста, мы должны помнить заповедь "НЕ НАВРЕДИ! ". Нельзя забывать о таком важном условии информатизации учебного процесса, как забота о сохранении здоровья воспитанников. Соблюдение гигиенических норм должно быть неукоснительным. Необходимо помнить, что для детей 5 - 6 лет продолжительность подобной учебной деятельности не должна превышать 10 минут.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Использование ИКТ в работе с родителями воспитанников.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Сотрудничество с семьей ребенка в вопросах использования ИКТ дома, особенно компьютера и компьютерных игр, является одним из ведущих направлением моей работы.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Создание презентаций «Моя семья» и дальнейший показ на родительских собраниях помогают ближе познакомиться с семьями воспитанников, узнать их интересы, увлечения, воспитывают гордость за сою семью. Мы фотографируем детей на занятиях, во время игровой деятельности, на прогулке, на всех мероприятиях. Создаем 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фотогалереи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размещаем в детском саду.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Очень интересны родителям экспозиции элементов интерьера детского сада. Ведь не организуешь каждому родителю экскурсию по детскому саду, да еще с подробным описанием пособий и оборудования кабинетов специалистов.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Интересны родителям домашние задания по подготовке проектов. Так, в младшей группе родители с детьми подбирали информацию на разных сайтах Интернета о различных животных. Итогом нашей работы стало создание </w:t>
      </w: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стенда</w:t>
      </w:r>
      <w:proofErr w:type="gram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«У кого </w:t>
      </w: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какие</w:t>
      </w:r>
      <w:proofErr w:type="gram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шубки? ». В старшей группе родители и дошкольники подбирали материал к темам о животных средней полосы, домашних животных, животных жарких стран. Итог – совместный альбом «В мире животных», Или знакомили детей с безопасностью на дорогах, а родители подбирали в Интернете стихи, сценки для проведения дидактической игры-занятия «Я – пешеход». Вместе оформили газету «Красный, желтый, зеленый». В подготовительной группе проводился долгосрочный проект по теме «Можем ли мы жить без солнца? » с привлечением родителей по поиску информации, стихов, сказок, загадок, составления кроссвордов.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Неоценимы возможности ИКТ при подготовке консультаций специалистов для родителей.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рамках организации деятельности детей за компьютером разработаны тематические рекомендации для родителей, проводятся консультации, активно используется наглядная информация, проводятся тематические родительские собрания по проблемам «Ребенок в мире информационных технологий».</w:t>
      </w:r>
    </w:p>
    <w:p w:rsidR="00105DE2" w:rsidRPr="00105DE2" w:rsidRDefault="00105DE2" w:rsidP="00105DE2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lastRenderedPageBreak/>
        <w:t>ВЫВОД: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Практика показала, что при условии систематического использования ИКТ в сочетании с традиционными методами обучения, эффективность работы по организации 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непосредстенно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образовательной деятельности с детьми старшего дошкольного возраста значительно повышается. В этом можно </w:t>
      </w: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убедиться</w:t>
      </w:r>
      <w:proofErr w:type="gram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рассмотрев сравнительные диаграммы развития детей до использования ИКТ и спустя год с использованием ИКТ: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Если посмотреть на первую </w:t>
      </w: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диаграмму</w:t>
      </w:r>
      <w:proofErr w:type="gram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то тут мы видим что высокий уровень развития детей за год без использования ИКТ вырос с 18%до 60%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Средний уровень вначале года 60%, в конце года упал до 40%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Детей с низким уровнем развития на конец года не осталось.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 это диаграмма развития детей с использованием ИКТ.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Если посмотреть на нее, то видно, что если в начале года было всего лишь 9% детей с высоким уровнем развития, то к концу года высокий уровень достиг 75%, отсюда понизился средний уровень развития детей, а низкого практически не осталось.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Таким образом, мы видим, что использование ИКТ выводит усвоения полученных знаний дошкольниками на более высокий уровень.</w:t>
      </w:r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Продуктом нашей работы является «Банк </w:t>
      </w:r>
      <w:proofErr w:type="spell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мультимедийных</w:t>
      </w:r>
      <w:proofErr w:type="spellEnd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презентаций», который предлагаем для использования в НОД (на электронном носителе- DVD диск)</w:t>
      </w: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Перспективы на будущее: создание сайта группы, который даст возможность следить за жизнью группы; получать информацию в форме педагогических советов, а также позволит лучше узнать воспитателей (их увлечения, интересы, педагогические взгляды)</w:t>
      </w:r>
      <w:proofErr w:type="gramStart"/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105DE2" w:rsidRPr="00105DE2" w:rsidRDefault="00105DE2" w:rsidP="00105DE2">
      <w:pPr>
        <w:spacing w:before="180" w:after="18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05DE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заключение, хотелось бы пожелать коллегам педагогического мастерства, удачи и абсолютной уверенности в своих силах!</w:t>
      </w:r>
    </w:p>
    <w:p w:rsidR="00105DE2" w:rsidRPr="00105DE2" w:rsidRDefault="00105DE2" w:rsidP="00105DE2">
      <w:pPr>
        <w:shd w:val="clear" w:color="auto" w:fill="FFFFFF"/>
        <w:spacing w:after="120" w:line="215" w:lineRule="atLeast"/>
        <w:rPr>
          <w:rFonts w:ascii="Arial" w:eastAsia="Times New Roman" w:hAnsi="Arial" w:cs="Arial"/>
          <w:vanish/>
          <w:color w:val="333333"/>
          <w:sz w:val="19"/>
          <w:szCs w:val="19"/>
          <w:lang w:eastAsia="ru-RU"/>
        </w:rPr>
      </w:pPr>
    </w:p>
    <w:p w:rsidR="00105DE2" w:rsidRPr="00105DE2" w:rsidRDefault="00105DE2" w:rsidP="00105DE2">
      <w:pPr>
        <w:spacing w:after="120" w:line="215" w:lineRule="atLeast"/>
        <w:rPr>
          <w:rFonts w:ascii="Arial" w:eastAsia="Times New Roman" w:hAnsi="Arial" w:cs="Arial"/>
          <w:vanish/>
          <w:color w:val="333333"/>
          <w:sz w:val="19"/>
          <w:szCs w:val="19"/>
          <w:lang w:eastAsia="ru-RU"/>
        </w:rPr>
      </w:pPr>
    </w:p>
    <w:p w:rsidR="00105DE2" w:rsidRPr="00105DE2" w:rsidRDefault="004533F1" w:rsidP="00105DE2">
      <w:pPr>
        <w:spacing w:after="120" w:line="21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5" w:history="1">
        <w:r w:rsidR="00105DE2" w:rsidRPr="00105DE2">
          <w:rPr>
            <w:rFonts w:ascii="Arial" w:eastAsia="Times New Roman" w:hAnsi="Arial" w:cs="Arial"/>
            <w:color w:val="FFFFFF"/>
            <w:sz w:val="25"/>
            <w:lang w:eastAsia="ru-RU"/>
          </w:rPr>
          <w:t>+ Ещё интереснее!</w:t>
        </w:r>
      </w:hyperlink>
    </w:p>
    <w:p w:rsidR="00105DE2" w:rsidRPr="00105DE2" w:rsidRDefault="004533F1" w:rsidP="00105DE2">
      <w:pPr>
        <w:spacing w:after="120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hyperlink r:id="rId6" w:history="1">
        <w:r w:rsidR="00105DE2" w:rsidRPr="00105DE2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>Шаблоны</w:t>
        </w:r>
      </w:hyperlink>
      <w:r w:rsidR="00105DE2" w:rsidRPr="00105DE2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="00105DE2" w:rsidRPr="00105DE2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Готовое оформление для рефератов, папок-передвижек</w:t>
      </w:r>
    </w:p>
    <w:p w:rsidR="00105DE2" w:rsidRPr="00105DE2" w:rsidRDefault="004533F1" w:rsidP="00105DE2">
      <w:pPr>
        <w:spacing w:after="120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hyperlink r:id="rId7" w:history="1">
        <w:r w:rsidR="00105DE2" w:rsidRPr="00105DE2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>Конкурсы на сайте</w:t>
        </w:r>
      </w:hyperlink>
      <w:r w:rsidR="00105DE2" w:rsidRPr="00105DE2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="00105DE2" w:rsidRPr="00105DE2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Детские творческие конкурсы, конкурсы для педагогов, голосование.</w:t>
      </w:r>
    </w:p>
    <w:p w:rsidR="00105DE2" w:rsidRPr="00105DE2" w:rsidRDefault="004533F1" w:rsidP="00105DE2">
      <w:pPr>
        <w:spacing w:after="120" w:line="240" w:lineRule="auto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hyperlink r:id="rId8" w:history="1">
        <w:r w:rsidR="00105DE2" w:rsidRPr="00105DE2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>Заказать свидетельство</w:t>
        </w:r>
      </w:hyperlink>
      <w:r w:rsidR="00105DE2" w:rsidRPr="00105DE2">
        <w:rPr>
          <w:rFonts w:ascii="Arial" w:eastAsia="Times New Roman" w:hAnsi="Arial" w:cs="Arial"/>
          <w:color w:val="FFFFFF"/>
          <w:sz w:val="19"/>
          <w:lang w:eastAsia="ru-RU"/>
        </w:rPr>
        <w:t> </w:t>
      </w:r>
      <w:r w:rsidR="00105DE2" w:rsidRPr="00105DE2">
        <w:rPr>
          <w:rFonts w:ascii="Arial" w:eastAsia="Times New Roman" w:hAnsi="Arial" w:cs="Arial"/>
          <w:color w:val="FFFFFF"/>
          <w:sz w:val="19"/>
          <w:szCs w:val="19"/>
          <w:lang w:eastAsia="ru-RU"/>
        </w:rPr>
        <w:br/>
        <w:t>Сертификаты и свидетельства для педагогов и воспитателей</w:t>
      </w:r>
    </w:p>
    <w:sectPr w:rsidR="00105DE2" w:rsidRPr="00105DE2" w:rsidSect="008A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7BE"/>
    <w:multiLevelType w:val="multilevel"/>
    <w:tmpl w:val="E818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20048F"/>
    <w:multiLevelType w:val="multilevel"/>
    <w:tmpl w:val="22B293A2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DE2"/>
    <w:rsid w:val="00105DE2"/>
    <w:rsid w:val="004533F1"/>
    <w:rsid w:val="007B4959"/>
    <w:rsid w:val="00803CE5"/>
    <w:rsid w:val="008A147B"/>
    <w:rsid w:val="00C51522"/>
    <w:rsid w:val="00F8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7B"/>
  </w:style>
  <w:style w:type="paragraph" w:styleId="1">
    <w:name w:val="heading 1"/>
    <w:basedOn w:val="a"/>
    <w:link w:val="10"/>
    <w:uiPriority w:val="9"/>
    <w:qFormat/>
    <w:rsid w:val="00105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05D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DE2"/>
    <w:rPr>
      <w:b/>
      <w:bCs/>
    </w:rPr>
  </w:style>
  <w:style w:type="character" w:styleId="a5">
    <w:name w:val="Hyperlink"/>
    <w:basedOn w:val="a0"/>
    <w:uiPriority w:val="99"/>
    <w:semiHidden/>
    <w:unhideWhenUsed/>
    <w:rsid w:val="00105D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DE2"/>
  </w:style>
  <w:style w:type="character" w:customStyle="1" w:styleId="fafiledesc">
    <w:name w:val="fa_file_desc"/>
    <w:basedOn w:val="a0"/>
    <w:rsid w:val="00105DE2"/>
  </w:style>
  <w:style w:type="paragraph" w:styleId="a6">
    <w:name w:val="Balloon Text"/>
    <w:basedOn w:val="a"/>
    <w:link w:val="a7"/>
    <w:uiPriority w:val="99"/>
    <w:semiHidden/>
    <w:unhideWhenUsed/>
    <w:rsid w:val="0010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78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6676">
                  <w:marLeft w:val="0"/>
                  <w:marRight w:val="0"/>
                  <w:marTop w:val="360"/>
                  <w:marBottom w:val="240"/>
                  <w:divBdr>
                    <w:top w:val="dotted" w:sz="4" w:space="0" w:color="A8C2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860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73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9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136">
                  <w:marLeft w:val="0"/>
                  <w:marRight w:val="0"/>
                  <w:marTop w:val="120"/>
                  <w:marBottom w:val="0"/>
                  <w:divBdr>
                    <w:top w:val="single" w:sz="4" w:space="0" w:color="D1F1FC"/>
                    <w:left w:val="single" w:sz="4" w:space="0" w:color="D1F1FC"/>
                    <w:bottom w:val="single" w:sz="4" w:space="0" w:color="D1F1FC"/>
                    <w:right w:val="single" w:sz="4" w:space="0" w:color="D1F1FC"/>
                  </w:divBdr>
                  <w:divsChild>
                    <w:div w:id="1840341558">
                      <w:marLeft w:val="0"/>
                      <w:marRight w:val="120"/>
                      <w:marTop w:val="0"/>
                      <w:marBottom w:val="0"/>
                      <w:divBdr>
                        <w:top w:val="single" w:sz="2" w:space="1" w:color="009FD9"/>
                        <w:left w:val="single" w:sz="2" w:space="1" w:color="009FD9"/>
                        <w:bottom w:val="single" w:sz="2" w:space="1" w:color="009FD9"/>
                        <w:right w:val="single" w:sz="2" w:space="1" w:color="009FD9"/>
                      </w:divBdr>
                    </w:div>
                    <w:div w:id="17350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414529">
                      <w:marLeft w:val="0"/>
                      <w:marRight w:val="300"/>
                      <w:marTop w:val="0"/>
                      <w:marBottom w:val="60"/>
                      <w:divBdr>
                        <w:top w:val="single" w:sz="4" w:space="3" w:color="D1F1FC"/>
                        <w:left w:val="single" w:sz="4" w:space="3" w:color="D1F1FC"/>
                        <w:bottom w:val="single" w:sz="4" w:space="3" w:color="D1F1FC"/>
                        <w:right w:val="single" w:sz="4" w:space="3" w:color="D1F1FC"/>
                      </w:divBdr>
                      <w:divsChild>
                        <w:div w:id="2616480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6825">
                      <w:marLeft w:val="0"/>
                      <w:marRight w:val="300"/>
                      <w:marTop w:val="0"/>
                      <w:marBottom w:val="60"/>
                      <w:divBdr>
                        <w:top w:val="single" w:sz="4" w:space="3" w:color="D1F1FC"/>
                        <w:left w:val="single" w:sz="4" w:space="3" w:color="D1F1FC"/>
                        <w:bottom w:val="single" w:sz="4" w:space="3" w:color="D1F1FC"/>
                        <w:right w:val="single" w:sz="4" w:space="3" w:color="D1F1FC"/>
                      </w:divBdr>
                    </w:div>
                  </w:divsChild>
                </w:div>
                <w:div w:id="978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4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7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21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2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7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61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22138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9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5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9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80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2950684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50123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4891750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7532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</w:div>
                <w:div w:id="6532219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70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126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89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306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92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88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47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6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94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76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53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368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2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71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5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shop/sertifikaty-i-diplo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o-saite/vse-servisy-proekta/konkursy-grafik-konkursnyh-meroprijat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shablony" TargetMode="External"/><Relationship Id="rId5" Type="http://schemas.openxmlformats.org/officeDocument/2006/relationships/hyperlink" Target="http://www.maam.ru/detskijsad/zolotoj-post-maaam-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1594</Words>
  <Characters>9087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2015-09-30T11:00:00Z</dcterms:created>
  <dcterms:modified xsi:type="dcterms:W3CDTF">2015-10-01T11:28:00Z</dcterms:modified>
</cp:coreProperties>
</file>